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6D6453" w:rsidRDefault="00AC5E1F" w:rsidP="00520207">
      <w:pPr>
        <w:spacing w:before="240" w:line="312" w:lineRule="auto"/>
        <w:jc w:val="center"/>
        <w:rPr>
          <w:rFonts w:ascii="Manrope" w:hAnsi="Manrope" w:cs="Frank Ruhl Libr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6D6453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6D6453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Frank Ruhl Libr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6D6453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Frank Ruhl Libr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6D6453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Frank Ruhl Libr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6D6453" w:rsidRDefault="008A1E04" w:rsidP="00AD56E4">
      <w:pPr>
        <w:spacing w:before="240" w:line="312" w:lineRule="auto"/>
        <w:jc w:val="center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6D6453">
        <w:rPr>
          <w:rFonts w:ascii="Manrope" w:hAnsi="Manrope" w:cs="Frank Ruhl Libre"/>
          <w:sz w:val="20"/>
          <w:szCs w:val="20"/>
        </w:rPr>
        <w:tab/>
        <w:t xml:space="preserve"> </w:t>
      </w:r>
      <w:r w:rsidR="00AD56E4" w:rsidRPr="006D6453">
        <w:rPr>
          <w:rFonts w:ascii="Manrope" w:hAnsi="Manrope" w:cs="Frank Ruhl Libre"/>
          <w:sz w:val="20"/>
          <w:szCs w:val="20"/>
        </w:rPr>
        <w:tab/>
      </w:r>
    </w:p>
    <w:bookmarkEnd w:id="0"/>
    <w:p w14:paraId="07C67A8C" w14:textId="6707076C" w:rsidR="00AC5E1F" w:rsidRPr="006D6453" w:rsidRDefault="00AC5E1F" w:rsidP="00520207">
      <w:pPr>
        <w:spacing w:before="240" w:line="312" w:lineRule="auto"/>
        <w:jc w:val="center"/>
        <w:rPr>
          <w:rFonts w:ascii="Manrope" w:hAnsi="Manrope" w:cs="Frank Ruhl Libre"/>
          <w:sz w:val="20"/>
          <w:szCs w:val="20"/>
        </w:rPr>
      </w:pPr>
    </w:p>
    <w:p w14:paraId="13B4A6A9" w14:textId="5341CF77" w:rsidR="008A1E04" w:rsidRPr="006D6453" w:rsidRDefault="008A1E04" w:rsidP="00520207">
      <w:pPr>
        <w:spacing w:before="240" w:line="312" w:lineRule="auto"/>
        <w:jc w:val="center"/>
        <w:rPr>
          <w:rFonts w:ascii="Manrope" w:hAnsi="Manrope" w:cs="Frank Ruhl Libre"/>
          <w:sz w:val="20"/>
          <w:szCs w:val="20"/>
        </w:rPr>
      </w:pPr>
    </w:p>
    <w:p w14:paraId="1EC0F448" w14:textId="77777777" w:rsidR="008A1E04" w:rsidRPr="006D6453" w:rsidRDefault="008A1E04" w:rsidP="00520207">
      <w:pPr>
        <w:spacing w:before="240" w:line="312" w:lineRule="auto"/>
        <w:jc w:val="center"/>
        <w:rPr>
          <w:rFonts w:ascii="Manrope" w:hAnsi="Manrope" w:cs="Frank Ruhl Libr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6D6453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6D6453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6D6453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6D6453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 w:rsidRPr="006D6453">
              <w:rPr>
                <w:rFonts w:ascii="Manrope" w:eastAsia="Calibri" w:hAnsi="Manrope" w:cs="Frank Ruhl Libre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6D6453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6D6453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6D6453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6D6453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6D6453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6D6453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6D6453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6D6453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6D6453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6D6453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6D6453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6D6453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6D6453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6D6453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6D6453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6D6453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279A03D5" w14:textId="37AB0ACC" w:rsidR="001238B0" w:rsidRPr="006D6453" w:rsidRDefault="00AC5E1F" w:rsidP="006318C4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 xml:space="preserve">ANCHE AI SENSI DEGLI ARTT. 46 E 47 DEL D.P.R. 445/2000 PER L’AMMISSIONE </w:t>
      </w:r>
      <w:r w:rsidR="001238B0" w:rsidRPr="006D6453">
        <w:rPr>
          <w:rFonts w:ascii="Manrope" w:eastAsia="Calibri" w:hAnsi="Manrope" w:cs="Frank Ruhl Libre"/>
          <w:sz w:val="20"/>
          <w:szCs w:val="20"/>
        </w:rPr>
        <w:t>ALLA PROCEDURA NEGOZIATA SENZA BANDO AI SENSI DELL’ART. 50 CO. 1 LETT. E) D.LGS.</w:t>
      </w:r>
      <w:r w:rsidR="00C53707">
        <w:rPr>
          <w:rFonts w:ascii="Manrope" w:eastAsia="Calibri" w:hAnsi="Manrope" w:cs="Frank Ruhl Libre"/>
          <w:sz w:val="20"/>
          <w:szCs w:val="20"/>
        </w:rPr>
        <w:t xml:space="preserve"> </w:t>
      </w:r>
      <w:r w:rsidR="001238B0" w:rsidRPr="006D6453">
        <w:rPr>
          <w:rFonts w:ascii="Manrope" w:eastAsia="Calibri" w:hAnsi="Manrope" w:cs="Frank Ruhl Libre"/>
          <w:sz w:val="20"/>
          <w:szCs w:val="20"/>
        </w:rPr>
        <w:t>36/2023</w:t>
      </w:r>
      <w:r w:rsidR="00C870E3">
        <w:rPr>
          <w:rFonts w:ascii="Manrope" w:eastAsia="Calibri" w:hAnsi="Manrope" w:cs="Frank Ruhl Libre"/>
          <w:sz w:val="20"/>
          <w:szCs w:val="20"/>
        </w:rPr>
        <w:t xml:space="preserve"> PER LA </w:t>
      </w:r>
      <w:r w:rsidR="00C870E3" w:rsidRPr="00C870E3">
        <w:rPr>
          <w:rFonts w:ascii="Manrope" w:eastAsia="Calibri" w:hAnsi="Manrope" w:cs="Frank Ruhl Libre"/>
          <w:sz w:val="20"/>
          <w:szCs w:val="20"/>
        </w:rPr>
        <w:t>“FORNITURA DI UN SISTEMA PER LA PRODUZIONE DI POLVERI METALLICHE MEDIANTE ATOMIZZAZIONE AD ULTRASUONI”</w:t>
      </w:r>
    </w:p>
    <w:p w14:paraId="40516DAB" w14:textId="6459AA6A" w:rsidR="00F31DD1" w:rsidRPr="006D6453" w:rsidRDefault="006318C4" w:rsidP="006318C4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CIG</w:t>
      </w:r>
      <w:r w:rsidR="00FC6CDE">
        <w:rPr>
          <w:rFonts w:ascii="Manrope" w:eastAsia="Calibri" w:hAnsi="Manrope" w:cs="Frank Ruhl Libre"/>
          <w:sz w:val="20"/>
          <w:szCs w:val="20"/>
        </w:rPr>
        <w:t xml:space="preserve"> </w:t>
      </w:r>
      <w:r w:rsidR="00FC6CDE" w:rsidRPr="00FC6CDE">
        <w:rPr>
          <w:rFonts w:ascii="Manrope" w:eastAsia="Calibri" w:hAnsi="Manrope" w:cs="Frank Ruhl Libre"/>
          <w:sz w:val="20"/>
          <w:szCs w:val="20"/>
        </w:rPr>
        <w:t>B7D872A860</w:t>
      </w:r>
    </w:p>
    <w:p w14:paraId="76E7A71D" w14:textId="527B51AF" w:rsidR="00805198" w:rsidRPr="006D6453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Il</w:t>
      </w:r>
      <w:r w:rsidR="00167D7F" w:rsidRPr="006D6453">
        <w:rPr>
          <w:rFonts w:ascii="Manrope" w:eastAsia="Calibri" w:hAnsi="Manrope" w:cs="Frank Ruhl Libre"/>
          <w:sz w:val="20"/>
          <w:szCs w:val="20"/>
        </w:rPr>
        <w:t>/La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6D6453">
        <w:rPr>
          <w:rFonts w:ascii="Manrope" w:eastAsia="Calibri" w:hAnsi="Manrope" w:cs="Frank Ruhl Libre"/>
          <w:sz w:val="20"/>
          <w:szCs w:val="20"/>
        </w:rPr>
        <w:t>/a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6D6453">
        <w:rPr>
          <w:rFonts w:ascii="Manrope" w:eastAsia="Calibri" w:hAnsi="Manrope" w:cs="Frank Ruhl Libre"/>
          <w:sz w:val="20"/>
          <w:szCs w:val="20"/>
        </w:rPr>
        <w:t>/a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 </w:t>
      </w:r>
      <w:r w:rsidR="008630B0" w:rsidRPr="006D6453">
        <w:rPr>
          <w:rFonts w:ascii="Manrope" w:eastAsia="Calibri" w:hAnsi="Manrope" w:cs="Frank Ruhl Libre"/>
          <w:sz w:val="20"/>
          <w:szCs w:val="20"/>
        </w:rPr>
        <w:t xml:space="preserve"> </w:t>
      </w:r>
      <w:r w:rsidR="00167D7F" w:rsidRPr="006D6453">
        <w:rPr>
          <w:rFonts w:ascii="Manrope" w:eastAsia="Calibri" w:hAnsi="Manrope" w:cs="Frank Ruhl Libre"/>
          <w:sz w:val="20"/>
          <w:szCs w:val="20"/>
        </w:rPr>
        <w:t xml:space="preserve">a 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6D6453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6D6453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6D6453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6D6453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6D6453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6D6453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6D6453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6D6453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6D6453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6D6453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6D6453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6D6453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6D6453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6D6453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6D6453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6D6453">
        <w:rPr>
          <w:rFonts w:ascii="Manrope" w:eastAsia="Calibri" w:hAnsi="Manrop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6D6453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362D213B" w14:textId="77777777" w:rsidR="00076C1A" w:rsidRPr="006D6453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b/>
          <w:sz w:val="20"/>
          <w:szCs w:val="20"/>
        </w:rPr>
        <w:lastRenderedPageBreak/>
        <w:t>CHIEDE</w:t>
      </w:r>
    </w:p>
    <w:p w14:paraId="7F6DD29F" w14:textId="04379449" w:rsidR="001B5971" w:rsidRPr="006D6453" w:rsidRDefault="00076C1A" w:rsidP="001B5971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6D6453">
        <w:rPr>
          <w:rFonts w:ascii="Manrope" w:eastAsia="Calibri" w:hAnsi="Manrope" w:cs="Frank Ruhl Libre"/>
          <w:sz w:val="20"/>
          <w:szCs w:val="20"/>
        </w:rPr>
        <w:t xml:space="preserve"> </w:t>
      </w:r>
      <w:r w:rsidR="001238B0" w:rsidRPr="006D6453">
        <w:rPr>
          <w:rFonts w:ascii="Manrope" w:eastAsia="Calibri" w:hAnsi="Manrope" w:cs="Frank Ruhl Libre"/>
          <w:sz w:val="20"/>
          <w:szCs w:val="20"/>
        </w:rPr>
        <w:t xml:space="preserve">PROCEDURA NEGOZIATA SENZA BANDO AI SENSI DELL’ART. 50 CO. 1 LETT. E) D.LGS. 36/2023 </w:t>
      </w:r>
      <w:r w:rsidR="009B01CD">
        <w:rPr>
          <w:rFonts w:ascii="Manrope" w:eastAsia="Calibri" w:hAnsi="Manrope" w:cs="Frank Ruhl Libre"/>
          <w:sz w:val="20"/>
          <w:szCs w:val="20"/>
        </w:rPr>
        <w:t xml:space="preserve">PER LA </w:t>
      </w:r>
      <w:r w:rsidR="009B01CD" w:rsidRPr="00C870E3">
        <w:rPr>
          <w:rFonts w:ascii="Manrope" w:eastAsia="Calibri" w:hAnsi="Manrope" w:cs="Frank Ruhl Libre"/>
          <w:sz w:val="20"/>
          <w:szCs w:val="20"/>
        </w:rPr>
        <w:t>“FORNITURA DI UN SISTEMA PER LA PRODUZIONE DI POLVERI METALLICHE MEDIANTE ATOMIZZAZIONE AD ULTRASUONI”</w:t>
      </w:r>
      <w:r w:rsidR="009B01CD">
        <w:rPr>
          <w:rFonts w:ascii="Manrope" w:eastAsia="Calibri" w:hAnsi="Manrope" w:cs="Frank Ruhl Libre"/>
          <w:sz w:val="20"/>
          <w:szCs w:val="20"/>
        </w:rPr>
        <w:t xml:space="preserve"> </w:t>
      </w:r>
      <w:r w:rsidR="006B3C2C">
        <w:rPr>
          <w:rFonts w:ascii="Manrope" w:eastAsia="Calibri" w:hAnsi="Manrope" w:cs="Frank Ruhl Libre"/>
          <w:sz w:val="20"/>
          <w:szCs w:val="20"/>
        </w:rPr>
        <w:t>–</w:t>
      </w:r>
      <w:r w:rsidR="001B5971" w:rsidRPr="006D6453">
        <w:rPr>
          <w:rFonts w:ascii="Manrope" w:eastAsia="Calibri" w:hAnsi="Manrope" w:cs="Frank Ruhl Libre"/>
          <w:sz w:val="20"/>
          <w:szCs w:val="20"/>
        </w:rPr>
        <w:t xml:space="preserve"> CIG</w:t>
      </w:r>
      <w:r w:rsidR="00383B91">
        <w:rPr>
          <w:rFonts w:ascii="Manrope" w:eastAsia="Calibri" w:hAnsi="Manrope" w:cs="Frank Ruhl Libre"/>
          <w:sz w:val="20"/>
          <w:szCs w:val="20"/>
        </w:rPr>
        <w:t xml:space="preserve"> </w:t>
      </w:r>
      <w:r w:rsidR="00D17673" w:rsidRPr="00D17673">
        <w:rPr>
          <w:rFonts w:ascii="Manrope" w:eastAsia="Calibri" w:hAnsi="Manrope" w:cs="Frank Ruhl Libre"/>
          <w:sz w:val="20"/>
          <w:szCs w:val="20"/>
        </w:rPr>
        <w:t>B7D872A860</w:t>
      </w:r>
    </w:p>
    <w:p w14:paraId="1996F38A" w14:textId="2C241607" w:rsidR="00BC4BD1" w:rsidRPr="006D6453" w:rsidRDefault="00076C1A" w:rsidP="001B5971">
      <w:pPr>
        <w:spacing w:before="24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6D6453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6D645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6D6453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6D6453">
        <w:rPr>
          <w:rFonts w:ascii="Manrope" w:eastAsia="Calibri" w:hAnsi="Manrope" w:cs="Frank Ruhl Libre"/>
          <w:sz w:val="20"/>
          <w:szCs w:val="20"/>
        </w:rPr>
        <w:t>, senza alcuna riserva</w:t>
      </w:r>
      <w:r w:rsidRPr="006D6453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6D6453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6D6453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6D6453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6D6453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6D6453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6D6453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6D6453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6D6453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6D6453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6D6453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6D6453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6D6453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6D6453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6D6453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6D6453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6D6453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6D6453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6D6453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6D6453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6D6453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6D6453" w:rsidRDefault="004E4B00" w:rsidP="00520207">
      <w:p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</w:p>
    <w:p w14:paraId="2105B20F" w14:textId="52E59060" w:rsidR="008F450B" w:rsidRPr="006D6453" w:rsidRDefault="008F450B" w:rsidP="00520207">
      <w:p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</w:p>
    <w:p w14:paraId="4BE0A30B" w14:textId="77777777" w:rsidR="008F450B" w:rsidRPr="006D6453" w:rsidRDefault="008F450B" w:rsidP="00520207">
      <w:p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</w:p>
    <w:p w14:paraId="14BAD98B" w14:textId="76DF519C" w:rsidR="00FB5177" w:rsidRPr="006D6453" w:rsidRDefault="00FB5177" w:rsidP="0003794A">
      <w:p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</w:p>
    <w:p w14:paraId="704AD344" w14:textId="0197D2D0" w:rsidR="0003794A" w:rsidRPr="006D6453" w:rsidRDefault="0003794A" w:rsidP="0003794A">
      <w:p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</w:p>
    <w:p w14:paraId="492EB605" w14:textId="142FD05C" w:rsidR="0003794A" w:rsidRPr="006D6453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6D6453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6D6453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6D6453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6D6453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6D6453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6D6453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6D6453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6D6453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6D6453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6D6453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6D6453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6D6453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di applicare il CCNL indicato dalla stazione appaltante</w:t>
      </w:r>
    </w:p>
    <w:p w14:paraId="5E6452B7" w14:textId="77777777" w:rsidR="00F31DD1" w:rsidRPr="006D6453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6D6453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6D6453">
        <w:rPr>
          <w:rFonts w:ascii="Manrope" w:eastAsia="Calibri" w:hAnsi="Manrope" w:cs="Frank Ruhl Libre"/>
          <w:i/>
          <w:iCs/>
          <w:sz w:val="20"/>
          <w:szCs w:val="20"/>
        </w:rPr>
        <w:t>ovvero</w:t>
      </w:r>
    </w:p>
    <w:p w14:paraId="5072542E" w14:textId="77777777" w:rsidR="00F31DD1" w:rsidRPr="006D6453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6D6453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lastRenderedPageBreak/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6D6453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6D6453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6D6453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6D6453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6D6453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6D6453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6D6453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6D6453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6D6453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6D6453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6D6453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6D6453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6D6453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6D6453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6D6453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6D6453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6D6453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6D6453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6D6453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6D6453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6D6453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6D6453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6D6453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6D6453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6D6453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6D6453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6D6453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6D6453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6D6453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6D6453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>6</w:t>
      </w:r>
      <w:r w:rsidRPr="006D6453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>, c)</w:t>
      </w:r>
      <w:r w:rsidRPr="006D6453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>d</w:t>
      </w:r>
      <w:r w:rsidRPr="006D6453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6D6453">
        <w:rPr>
          <w:rFonts w:ascii="Manrope" w:eastAsia="Calibri" w:hAnsi="Manrope" w:cs="Frank Ruhl Libre"/>
          <w:bCs/>
          <w:sz w:val="20"/>
          <w:szCs w:val="20"/>
        </w:rPr>
        <w:t>che</w:t>
      </w:r>
      <w:r w:rsidRPr="006D6453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>6</w:t>
      </w:r>
      <w:r w:rsidRPr="006D6453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6D6453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>6</w:t>
      </w:r>
      <w:r w:rsidRPr="006D6453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6D6453">
        <w:rPr>
          <w:rFonts w:ascii="Manrope" w:eastAsia="Calibri" w:hAnsi="Manrope" w:cs="Frank Ruhl Libre"/>
          <w:b/>
          <w:sz w:val="20"/>
          <w:szCs w:val="20"/>
        </w:rPr>
        <w:t>d</w:t>
      </w:r>
      <w:r w:rsidRPr="006D6453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6D6453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6D6453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6D6453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6D6453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6D6453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6D6453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6D6453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6D6453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6D6453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6D6453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6D6453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6D6453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6D6453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6D6453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6D6453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6D6453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6D6453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6D6453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6D6453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6D6453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6D6453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6D6453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6D6453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6D6453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6D6453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6D6453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6D6453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6D6453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6D6453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6D6453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6D6453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6D6453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6D6453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6D6453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6D6453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6D6453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6D6453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6D6453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6D6453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6D6453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536E93F6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6D6453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______________________________</w:t>
      </w:r>
      <w:r w:rsidRPr="006D6453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______________________________</w:t>
      </w:r>
      <w:r w:rsidRPr="006D6453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6D6453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</w:t>
      </w:r>
      <w:r w:rsidRPr="006D6453">
        <w:rPr>
          <w:rFonts w:ascii="Manrope" w:hAnsi="Manrope" w:cs="Frank Ruhl Libre"/>
          <w:sz w:val="20"/>
          <w:szCs w:val="20"/>
        </w:rPr>
        <w:lastRenderedPageBreak/>
        <w:t>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6D6453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6D6453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6D6453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6D6453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6D6453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6D6453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______________________________</w:t>
      </w:r>
      <w:r w:rsidRPr="006D6453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______________________________</w:t>
      </w:r>
      <w:r w:rsidRPr="006D6453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6D6453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6D6453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6D6453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6D6453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6D6453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6D6453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6D6453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6D6453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6D6453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6D6453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6D6453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6D6453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6D6453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che, in caso di aggiudicazione, si uniformerà alla disciplina vigente in materia di </w:t>
      </w:r>
      <w:r w:rsidRPr="006D6453">
        <w:rPr>
          <w:rFonts w:ascii="Manrope" w:hAnsi="Manrope" w:cs="Frank Ruhl Libre"/>
          <w:sz w:val="20"/>
          <w:szCs w:val="20"/>
        </w:rPr>
        <w:lastRenderedPageBreak/>
        <w:t>raggruppamenti temporanei;</w:t>
      </w:r>
    </w:p>
    <w:p w14:paraId="2FC8C6DE" w14:textId="352DD74F" w:rsidR="00820F64" w:rsidRPr="006D6453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6D6453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6D6453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6D6453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6D6453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6D6453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6D6453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6D6453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6D6453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6D6453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6D6453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6D6453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6D6453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6D6453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6D6453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6D6453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6D6453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6D6453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6D6453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6D6453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6D6453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6D6453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6D6453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6D6453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al </w:t>
      </w:r>
      <w:r w:rsidR="006C4C9E" w:rsidRPr="006D6453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6D6453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6D6453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6D6453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6D6453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6D6453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6D6453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6D6453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6D6453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6D6453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6D6453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6D6453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6D6453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6D6453">
        <w:rPr>
          <w:rFonts w:ascii="Manrope" w:hAnsi="Manrope" w:cs="Frank Ruhl Libre"/>
          <w:sz w:val="20"/>
          <w:szCs w:val="20"/>
        </w:rPr>
        <w:t xml:space="preserve">pertanto </w:t>
      </w:r>
      <w:r w:rsidRPr="006D6453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6D6453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6D6453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6D6453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6D6453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6D6453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6D6453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6D6453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6D6453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6D6453">
        <w:rPr>
          <w:rFonts w:ascii="Manrope" w:hAnsi="Manrope" w:cs="Frank Ruhl Libr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6D6453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lastRenderedPageBreak/>
        <w:t>che non sussiste la causa interdittiva di cui all'art. 53, comma 16-ter, del D. Lgs. n.165/2001 nei confronti della stazione appaltante;</w:t>
      </w:r>
    </w:p>
    <w:p w14:paraId="008532B0" w14:textId="77777777" w:rsidR="001D714C" w:rsidRPr="006D6453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6D6453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6D6453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6D6453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6D6453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6D6453">
        <w:rPr>
          <w:rFonts w:ascii="Manrope" w:eastAsia="Calibri" w:hAnsi="Manrope" w:cs="Frank Ruhl Libre"/>
          <w:sz w:val="20"/>
          <w:szCs w:val="20"/>
        </w:rPr>
        <w:t>94</w:t>
      </w:r>
      <w:r w:rsidRPr="006D6453">
        <w:rPr>
          <w:rFonts w:ascii="Manrope" w:eastAsia="Calibri" w:hAnsi="Manrope" w:cs="Frank Ruhl Libre"/>
          <w:sz w:val="20"/>
          <w:szCs w:val="20"/>
        </w:rPr>
        <w:t>, comma 3</w:t>
      </w:r>
      <w:r w:rsidRPr="006D6453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6D6453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6D6453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6D6453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6D6453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6D6453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6D6453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6D6453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6D6453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6D6453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6D6453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6D6453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6D6453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6D6453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6D6453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6D6453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6D6453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6D6453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6D6453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6D6453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6D6453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6D6453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6D6453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6D6453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6D6453">
        <w:rPr>
          <w:rFonts w:ascii="Manrope" w:hAnsi="Manrope" w:cs="Frank Ruhl Libre"/>
          <w:sz w:val="20"/>
          <w:szCs w:val="20"/>
        </w:rPr>
        <w:t xml:space="preserve">gli </w:t>
      </w:r>
      <w:r w:rsidRPr="006D6453">
        <w:rPr>
          <w:rFonts w:ascii="Manrope" w:hAnsi="Manrope" w:cs="Frank Ruhl Libre"/>
          <w:sz w:val="20"/>
          <w:szCs w:val="20"/>
        </w:rPr>
        <w:t>art</w:t>
      </w:r>
      <w:r w:rsidR="00B45AFA" w:rsidRPr="006D6453">
        <w:rPr>
          <w:rFonts w:ascii="Manrope" w:hAnsi="Manrope" w:cs="Frank Ruhl Libre"/>
          <w:sz w:val="20"/>
          <w:szCs w:val="20"/>
        </w:rPr>
        <w:t>t</w:t>
      </w:r>
      <w:r w:rsidRPr="006D6453">
        <w:rPr>
          <w:rFonts w:ascii="Manrope" w:hAnsi="Manrope" w:cs="Frank Ruhl Libre"/>
          <w:sz w:val="20"/>
          <w:szCs w:val="20"/>
        </w:rPr>
        <w:t>.</w:t>
      </w:r>
      <w:r w:rsidR="001223D1" w:rsidRPr="006D6453">
        <w:rPr>
          <w:rFonts w:ascii="Manrope" w:hAnsi="Manrope" w:cs="Frank Ruhl Libre"/>
          <w:sz w:val="20"/>
          <w:szCs w:val="20"/>
        </w:rPr>
        <w:t xml:space="preserve"> </w:t>
      </w:r>
      <w:r w:rsidR="00081968" w:rsidRPr="006D6453">
        <w:rPr>
          <w:rFonts w:ascii="Manrope" w:hAnsi="Manrope" w:cs="Frank Ruhl Libre"/>
          <w:sz w:val="20"/>
          <w:szCs w:val="20"/>
        </w:rPr>
        <w:t>95</w:t>
      </w:r>
      <w:r w:rsidR="001223D1" w:rsidRPr="006D6453">
        <w:rPr>
          <w:rFonts w:ascii="Manrope" w:hAnsi="Manrope" w:cs="Frank Ruhl Libre"/>
          <w:sz w:val="20"/>
          <w:szCs w:val="20"/>
        </w:rPr>
        <w:t xml:space="preserve"> e 98 d</w:t>
      </w:r>
      <w:r w:rsidRPr="006D6453">
        <w:rPr>
          <w:rFonts w:ascii="Manrope" w:hAnsi="Manrope" w:cs="Frank Ruhl Libre"/>
          <w:sz w:val="20"/>
          <w:szCs w:val="20"/>
        </w:rPr>
        <w:t>el Codice</w:t>
      </w:r>
      <w:r w:rsidR="00B11926" w:rsidRPr="006D6453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6D6453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6D6453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6D6453">
        <w:rPr>
          <w:rFonts w:ascii="Manrope" w:hAnsi="Manrope" w:cs="Frank Ruhl Libre"/>
          <w:b/>
        </w:rPr>
        <w:t xml:space="preserve">Dichiarazioni in </w:t>
      </w:r>
      <w:r w:rsidR="005C104B" w:rsidRPr="006D6453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6D6453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6D6453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che </w:t>
      </w:r>
      <w:r w:rsidRPr="006D6453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6D6453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6D6453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6D6453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delle</w:t>
      </w:r>
      <w:r w:rsidRPr="006D6453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condizioni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contrattuali</w:t>
      </w:r>
      <w:r w:rsidRPr="006D6453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e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degli</w:t>
      </w:r>
      <w:r w:rsidRPr="006D6453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oneri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compresi</w:t>
      </w:r>
      <w:r w:rsidRPr="006D6453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quelli</w:t>
      </w:r>
      <w:r w:rsidRPr="006D6453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eventuali</w:t>
      </w:r>
      <w:r w:rsidRPr="006D6453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relativi</w:t>
      </w:r>
      <w:r w:rsidRPr="006D6453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in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materia di sicurezza, di assicurazione, di condizioni di lavoro e di previdenza e assistenza in vigore nel luogo</w:t>
      </w:r>
      <w:r w:rsidRPr="006D6453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dove</w:t>
      </w:r>
      <w:r w:rsidRPr="006D6453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devono</w:t>
      </w:r>
      <w:r w:rsidRPr="006D6453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essere</w:t>
      </w:r>
      <w:r w:rsidRPr="006D6453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svolti</w:t>
      </w:r>
      <w:r w:rsidRPr="006D6453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i</w:t>
      </w:r>
      <w:r w:rsidRPr="006D6453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6D6453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lastRenderedPageBreak/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6D6453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6D6453">
        <w:rPr>
          <w:rFonts w:ascii="Manrope" w:hAnsi="Manrope" w:cs="Frank Ruhl Libre"/>
          <w:sz w:val="20"/>
          <w:szCs w:val="20"/>
        </w:rPr>
        <w:t>il sistema</w:t>
      </w:r>
      <w:r w:rsidRPr="006D6453">
        <w:rPr>
          <w:rFonts w:ascii="Manrope" w:hAnsi="Manrope" w:cs="Frank Ruhl Libre"/>
          <w:sz w:val="20"/>
          <w:szCs w:val="20"/>
        </w:rPr>
        <w:t xml:space="preserve"> </w:t>
      </w:r>
      <w:r w:rsidR="00185FF7" w:rsidRPr="006D6453">
        <w:rPr>
          <w:rFonts w:ascii="Manrope" w:hAnsi="Manrope" w:cs="Frank Ruhl Libre"/>
          <w:sz w:val="20"/>
          <w:szCs w:val="20"/>
        </w:rPr>
        <w:t>FVOE</w:t>
      </w:r>
      <w:r w:rsidRPr="006D6453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6D6453">
        <w:rPr>
          <w:rFonts w:ascii="Manrope" w:hAnsi="Manrope" w:cs="Frank Ruhl Libre"/>
          <w:sz w:val="20"/>
          <w:szCs w:val="20"/>
        </w:rPr>
        <w:t xml:space="preserve">ll’aggiudicazione </w:t>
      </w:r>
      <w:r w:rsidRPr="006D6453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6D6453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6D6453">
        <w:rPr>
          <w:rFonts w:ascii="Manrope" w:hAnsi="Manrope" w:cs="Frank Ruhl Libre"/>
          <w:sz w:val="20"/>
          <w:szCs w:val="20"/>
        </w:rPr>
        <w:t xml:space="preserve">che </w:t>
      </w:r>
      <w:r w:rsidR="00997CC6" w:rsidRPr="006D6453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6D6453">
        <w:rPr>
          <w:rFonts w:ascii="Manrope" w:hAnsi="Manrope" w:cs="Frank Ruhl Libre"/>
          <w:sz w:val="20"/>
          <w:szCs w:val="20"/>
        </w:rPr>
        <w:t>13</w:t>
      </w:r>
      <w:r w:rsidR="00997CC6" w:rsidRPr="006D6453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6D6453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6D6453">
        <w:rPr>
          <w:rFonts w:ascii="Manrope" w:hAnsi="Manrope" w:cs="Frank Ruhl Libre"/>
          <w:sz w:val="20"/>
          <w:szCs w:val="20"/>
        </w:rPr>
        <w:t xml:space="preserve"> L. </w:t>
      </w:r>
      <w:r w:rsidRPr="006D6453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6D6453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6D6453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6D6453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6D6453">
        <w:rPr>
          <w:rFonts w:ascii="Manrope" w:hAnsi="Manrope" w:cs="Frank Ruhl Libre"/>
          <w:sz w:val="20"/>
          <w:szCs w:val="20"/>
        </w:rPr>
        <w:t>al seguente link</w:t>
      </w:r>
      <w:r w:rsidR="00B52258" w:rsidRPr="006D6453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6D6453" w:rsidRDefault="00D158E6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6D6453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6D6453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6D6453">
        <w:rPr>
          <w:rFonts w:ascii="Manrope" w:hAnsi="Manrope" w:cs="Frank Ruhl Libre"/>
          <w:sz w:val="20"/>
          <w:szCs w:val="20"/>
        </w:rPr>
        <w:t>:</w:t>
      </w:r>
      <w:r w:rsidRPr="006D6453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6D6453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6D6453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6D6453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6D6453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6D6453">
        <w:rPr>
          <w:rFonts w:ascii="Manrope" w:hAnsi="Manrope" w:cs="Frank Ruhl Libre"/>
          <w:sz w:val="20"/>
          <w:szCs w:val="20"/>
        </w:rPr>
        <w:t xml:space="preserve"> e </w:t>
      </w:r>
      <w:r w:rsidRPr="006D6453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6D6453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6D6453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6D6453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6D6453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6D6453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6D6453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6D6453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6D6453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6D6453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6D6453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6D6453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6D6453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6D6453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6D6453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lastRenderedPageBreak/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6D6453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i/>
          <w:sz w:val="20"/>
          <w:szCs w:val="20"/>
        </w:rPr>
        <w:t>(</w:t>
      </w:r>
      <w:r w:rsidRPr="006D6453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6D6453">
        <w:rPr>
          <w:rFonts w:ascii="Manrope" w:hAnsi="Manrope" w:cs="Frank Ruhl Libre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6D6453">
        <w:rPr>
          <w:rFonts w:ascii="Manrope" w:hAnsi="Manrope" w:cs="Frank Ruhl Libre"/>
          <w:i/>
          <w:sz w:val="20"/>
          <w:szCs w:val="20"/>
        </w:rPr>
        <w:t>)</w:t>
      </w:r>
      <w:r w:rsidRPr="006D6453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6D6453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6D6453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6D6453">
        <w:rPr>
          <w:rFonts w:ascii="Manrope" w:hAnsi="Manrope" w:cs="Frank Ruhl Libre"/>
          <w:b/>
          <w:sz w:val="20"/>
          <w:szCs w:val="20"/>
        </w:rPr>
        <w:t>subappalto</w:t>
      </w:r>
      <w:r w:rsidRPr="006D6453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6D6453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6D6453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6D6453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6D6453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6D6453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6D6453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6D6453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6D6453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6D6453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6D6453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6D6453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6D6453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di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diritto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dal Politecnico di Milano</w:t>
      </w:r>
      <w:r w:rsidRPr="006D6453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ai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sensi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dell’art.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1456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z w:val="20"/>
          <w:szCs w:val="20"/>
        </w:rPr>
        <w:t>cod.</w:t>
      </w:r>
      <w:r w:rsidRPr="006D6453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6D6453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6D6453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6D6453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6D6453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6D6453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6D6453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6D6453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6D6453">
        <w:rPr>
          <w:rFonts w:ascii="Manrope" w:hAnsi="Manrope" w:cs="Frank Ruhl Libre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6D6453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6D6453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6D6453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6D6453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6D6453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6D6453">
        <w:rPr>
          <w:rFonts w:ascii="Manrope" w:hAnsi="Manrope" w:cs="Frank Ruhl Libre"/>
          <w:b/>
          <w:i/>
          <w:iCs/>
          <w:sz w:val="20"/>
          <w:szCs w:val="20"/>
        </w:rPr>
        <w:lastRenderedPageBreak/>
        <w:t>per g</w:t>
      </w:r>
      <w:r w:rsidR="00F75519" w:rsidRPr="006D6453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6D6453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6D6453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di indicare</w:t>
      </w:r>
      <w:r w:rsidR="00F75519" w:rsidRPr="006D6453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6D6453">
        <w:rPr>
          <w:rFonts w:ascii="Manrope" w:hAnsi="Manrope" w:cs="Frank Ruhl Libre"/>
          <w:sz w:val="20"/>
          <w:szCs w:val="20"/>
        </w:rPr>
        <w:t>a</w:t>
      </w:r>
      <w:r w:rsidR="00F75519" w:rsidRPr="006D6453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6D6453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6D6453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6D6453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6D6453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6D6453">
        <w:rPr>
          <w:rFonts w:ascii="Manrope" w:hAnsi="Manrope" w:cs="Frank Ruhl Libre"/>
          <w:sz w:val="20"/>
          <w:szCs w:val="20"/>
        </w:rPr>
        <w:t>____________________________________________</w:t>
      </w:r>
      <w:r w:rsidRPr="006D6453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6D6453">
        <w:rPr>
          <w:rFonts w:ascii="Manrope" w:hAnsi="Manrope" w:cs="Frank Ruhl Libre"/>
          <w:sz w:val="20"/>
          <w:szCs w:val="20"/>
        </w:rPr>
        <w:t>95, commi 4 e 5 del D.Lgs. 14/2019;</w:t>
      </w:r>
    </w:p>
    <w:p w14:paraId="194EAB7D" w14:textId="7DF96D4E" w:rsidR="009B49B0" w:rsidRPr="006D6453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6D6453">
        <w:rPr>
          <w:rFonts w:ascii="Manrope" w:hAnsi="Manrope" w:cs="Frank Ruhl Libre"/>
          <w:b/>
        </w:rPr>
        <w:t>G</w:t>
      </w:r>
      <w:r w:rsidR="009B49B0" w:rsidRPr="006D6453">
        <w:rPr>
          <w:rFonts w:ascii="Manrope" w:hAnsi="Manrope" w:cs="Frank Ruhl Libre"/>
          <w:b/>
        </w:rPr>
        <w:t xml:space="preserve">. Dichiarazioni in ordine agli adempimenti </w:t>
      </w:r>
      <w:r w:rsidR="00966177" w:rsidRPr="006D6453">
        <w:rPr>
          <w:rFonts w:ascii="Manrope" w:hAnsi="Manrope" w:cs="Frank Ruhl Libre"/>
          <w:b/>
        </w:rPr>
        <w:t>Allegato II.3</w:t>
      </w:r>
      <w:r w:rsidR="00E76EB0" w:rsidRPr="006D6453">
        <w:rPr>
          <w:rFonts w:ascii="Manrope" w:hAnsi="Manrope" w:cs="Frank Ruhl Libre"/>
          <w:b/>
        </w:rPr>
        <w:t xml:space="preserve"> Decreto legislativo 31 marzo 2023, n. 36</w:t>
      </w:r>
    </w:p>
    <w:p w14:paraId="5A4464FD" w14:textId="77777777" w:rsidR="009B49B0" w:rsidRPr="006D6453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6D6453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6D6453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6D645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6D6453" w14:paraId="2575D2E9" w14:textId="77777777" w:rsidTr="00F31DD1">
        <w:tc>
          <w:tcPr>
            <w:tcW w:w="704" w:type="dxa"/>
          </w:tcPr>
          <w:p w14:paraId="1B12D11C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6D6453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6D6453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6D6453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6D645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6D6453" w14:paraId="00928433" w14:textId="77777777" w:rsidTr="00F31DD1">
        <w:tc>
          <w:tcPr>
            <w:tcW w:w="704" w:type="dxa"/>
          </w:tcPr>
          <w:p w14:paraId="4841ADBC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6D6453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</w:t>
            </w:r>
            <w:r w:rsidRPr="006D6453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6D6453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6D6453">
              <w:rPr>
                <w:rFonts w:ascii="Manrope" w:hAnsi="Manrop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6D6453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6D6453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6D6453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6D6453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6D645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6D6453" w14:paraId="775A282C" w14:textId="77777777" w:rsidTr="00F31DD1">
        <w:tc>
          <w:tcPr>
            <w:tcW w:w="704" w:type="dxa"/>
          </w:tcPr>
          <w:p w14:paraId="6D395E96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t>e che, pertanto non è tenuta al rispetto di quanto prescritto dall’</w:t>
            </w:r>
            <w:r w:rsidR="00E76EB0" w:rsidRPr="006D6453">
              <w:rPr>
                <w:rFonts w:ascii="Manrope" w:hAnsi="Manrope" w:cs="Frank Ruhl Libre"/>
                <w:sz w:val="20"/>
                <w:szCs w:val="20"/>
              </w:rPr>
              <w:t>Allegato II.3 Decreto legislativo 31 marzo 2023, n. 36</w:t>
            </w:r>
            <w:r w:rsidRPr="006D6453">
              <w:rPr>
                <w:rFonts w:ascii="Manrope" w:hAnsi="Manrope" w:cs="Frank Ruhl Libre"/>
                <w:sz w:val="20"/>
                <w:szCs w:val="20"/>
              </w:rPr>
              <w:t>.</w:t>
            </w:r>
          </w:p>
        </w:tc>
      </w:tr>
      <w:tr w:rsidR="009B49B0" w:rsidRPr="006D6453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6D6453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6D6453" w14:paraId="037A3BB6" w14:textId="77777777" w:rsidTr="00F31DD1">
        <w:tc>
          <w:tcPr>
            <w:tcW w:w="704" w:type="dxa"/>
          </w:tcPr>
          <w:p w14:paraId="56E4B9CB" w14:textId="77777777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6D6453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6D6453">
              <w:rPr>
                <w:rFonts w:ascii="Manrope" w:hAnsi="Manrope" w:cs="Frank Ruhl Libre"/>
                <w:sz w:val="20"/>
                <w:szCs w:val="20"/>
              </w:rPr>
              <w:t xml:space="preserve">e che, pertanto </w:t>
            </w:r>
            <w:r w:rsidR="00E76EB0" w:rsidRPr="006D6453">
              <w:rPr>
                <w:rFonts w:ascii="Manrope" w:hAnsi="Manrope" w:cs="Frank Ruhl Libre"/>
                <w:sz w:val="20"/>
                <w:szCs w:val="20"/>
              </w:rPr>
              <w:t>si impegna a</w:t>
            </w:r>
            <w:r w:rsidR="00966177" w:rsidRPr="006D6453">
              <w:rPr>
                <w:rFonts w:ascii="Manrope" w:hAnsi="Manrop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6D6453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6D6453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6D6453">
        <w:rPr>
          <w:rFonts w:ascii="Manrope" w:hAnsi="Manrope" w:cs="Frank Ruhl Libre"/>
          <w:iCs/>
          <w:sz w:val="20"/>
          <w:szCs w:val="20"/>
        </w:rPr>
        <w:t>_______(luogo)_______</w:t>
      </w:r>
    </w:p>
    <w:p w14:paraId="53A08E11" w14:textId="5C9F066C" w:rsidR="0016791E" w:rsidRPr="006D6453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 w:rsidRPr="006D6453">
        <w:rPr>
          <w:rFonts w:ascii="Manrope" w:hAnsi="Manrope" w:cs="Frank Ruhl Libre"/>
          <w:iCs/>
          <w:sz w:val="20"/>
          <w:szCs w:val="20"/>
        </w:rPr>
        <w:t>Lì, XX/XX/XXXX</w:t>
      </w:r>
    </w:p>
    <w:p w14:paraId="5BC645AF" w14:textId="606C2C5B" w:rsidR="00AD56E4" w:rsidRPr="006D6453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6D6453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6D6453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6D6453">
        <w:rPr>
          <w:rFonts w:ascii="Manrope" w:hAnsi="Manrope" w:cs="Frank Ruhl Libre"/>
          <w:i/>
          <w:sz w:val="20"/>
          <w:szCs w:val="20"/>
        </w:rPr>
        <w:t>F</w:t>
      </w:r>
      <w:r w:rsidR="009E58E1" w:rsidRPr="006D6453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6D6453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238B0"/>
    <w:rsid w:val="00166630"/>
    <w:rsid w:val="0016791E"/>
    <w:rsid w:val="00167D7F"/>
    <w:rsid w:val="0017426D"/>
    <w:rsid w:val="00177C1A"/>
    <w:rsid w:val="00185FF7"/>
    <w:rsid w:val="001A0C2A"/>
    <w:rsid w:val="001B5971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40BC2"/>
    <w:rsid w:val="00365E5A"/>
    <w:rsid w:val="00383B91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318C4"/>
    <w:rsid w:val="00651729"/>
    <w:rsid w:val="00653DE5"/>
    <w:rsid w:val="00666B9D"/>
    <w:rsid w:val="006A4FF6"/>
    <w:rsid w:val="006B00AB"/>
    <w:rsid w:val="006B3C2C"/>
    <w:rsid w:val="006B550F"/>
    <w:rsid w:val="006C4C9E"/>
    <w:rsid w:val="006C57B0"/>
    <w:rsid w:val="006D6453"/>
    <w:rsid w:val="00712895"/>
    <w:rsid w:val="00725DA7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057E6"/>
    <w:rsid w:val="00916F0E"/>
    <w:rsid w:val="009215B7"/>
    <w:rsid w:val="0093166D"/>
    <w:rsid w:val="00965667"/>
    <w:rsid w:val="00966177"/>
    <w:rsid w:val="00966CD6"/>
    <w:rsid w:val="00971258"/>
    <w:rsid w:val="00997CC6"/>
    <w:rsid w:val="009B01CD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53707"/>
    <w:rsid w:val="00C870E3"/>
    <w:rsid w:val="00CB032D"/>
    <w:rsid w:val="00CC0F3D"/>
    <w:rsid w:val="00CC50E7"/>
    <w:rsid w:val="00CF1D54"/>
    <w:rsid w:val="00D158E6"/>
    <w:rsid w:val="00D17673"/>
    <w:rsid w:val="00D847D8"/>
    <w:rsid w:val="00DF70F0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C6CDE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4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27</cp:revision>
  <dcterms:created xsi:type="dcterms:W3CDTF">2025-06-27T11:26:00Z</dcterms:created>
  <dcterms:modified xsi:type="dcterms:W3CDTF">2025-09-24T13:57:00Z</dcterms:modified>
</cp:coreProperties>
</file>